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9F1" w:rsidRPr="002B59F1" w:rsidRDefault="002B59F1" w:rsidP="002B59F1">
      <w:pPr>
        <w:rPr>
          <w:color w:val="000000"/>
          <w:sz w:val="32"/>
          <w:szCs w:val="32"/>
        </w:rPr>
      </w:pPr>
      <w:r w:rsidRPr="002B59F1">
        <w:rPr>
          <w:b/>
          <w:color w:val="000000"/>
          <w:sz w:val="32"/>
          <w:szCs w:val="32"/>
        </w:rPr>
        <w:t>S</w:t>
      </w:r>
      <w:r w:rsidRPr="002B59F1">
        <w:rPr>
          <w:b/>
          <w:color w:val="000000"/>
          <w:sz w:val="32"/>
          <w:szCs w:val="32"/>
        </w:rPr>
        <w:t>tanovisko (výklad zákona)</w:t>
      </w:r>
      <w:r w:rsidRPr="002B59F1">
        <w:rPr>
          <w:color w:val="000000"/>
          <w:sz w:val="32"/>
          <w:szCs w:val="32"/>
        </w:rPr>
        <w:t xml:space="preserve"> od sekcie legislatívno-p</w:t>
      </w:r>
      <w:bookmarkStart w:id="0" w:name="_GoBack"/>
      <w:bookmarkEnd w:id="0"/>
      <w:r w:rsidRPr="002B59F1">
        <w:rPr>
          <w:color w:val="000000"/>
          <w:sz w:val="32"/>
          <w:szCs w:val="32"/>
        </w:rPr>
        <w:t xml:space="preserve">rávnej k </w:t>
      </w:r>
      <w:r w:rsidRPr="002B59F1">
        <w:rPr>
          <w:b/>
          <w:bCs/>
          <w:color w:val="000000"/>
          <w:sz w:val="32"/>
          <w:szCs w:val="32"/>
        </w:rPr>
        <w:t>§ 140 zákona č. 245/2008 Z. z. o výchove a vzdelávaní (školský zákon)</w:t>
      </w:r>
      <w:r w:rsidRPr="002B59F1">
        <w:rPr>
          <w:color w:val="000000"/>
          <w:sz w:val="32"/>
          <w:szCs w:val="32"/>
        </w:rPr>
        <w:t xml:space="preserve"> a o zmene a doplnení niektorých zákonov v znení neskorších predpisov.</w:t>
      </w:r>
    </w:p>
    <w:p w:rsidR="002B59F1" w:rsidRPr="002B59F1" w:rsidRDefault="002B59F1" w:rsidP="002B59F1">
      <w:pPr>
        <w:rPr>
          <w:color w:val="000000"/>
          <w:sz w:val="32"/>
          <w:szCs w:val="32"/>
        </w:rPr>
      </w:pPr>
    </w:p>
    <w:p w:rsidR="002B59F1" w:rsidRPr="002B59F1" w:rsidRDefault="002B59F1" w:rsidP="002B59F1">
      <w:pPr>
        <w:rPr>
          <w:color w:val="000000"/>
          <w:sz w:val="32"/>
          <w:szCs w:val="32"/>
        </w:rPr>
      </w:pPr>
    </w:p>
    <w:p w:rsidR="002B59F1" w:rsidRDefault="002B59F1" w:rsidP="002B59F1">
      <w:pPr>
        <w:jc w:val="both"/>
        <w:rPr>
          <w:color w:val="000000"/>
        </w:rPr>
      </w:pPr>
      <w:r>
        <w:rPr>
          <w:color w:val="000000"/>
        </w:rPr>
        <w:t>Podľa § 140 ods. 8 zákona č. 245/2008 Z. z. o výchove a vzdelávaní (školský zákon) a o zmene a doplnení niektorých zákonov v znení neskorších predpisov (ďalej len „zákon č. 245/2008 Z. z.“) „</w:t>
      </w:r>
      <w:r>
        <w:rPr>
          <w:b/>
          <w:bCs/>
          <w:i/>
          <w:iCs/>
          <w:color w:val="000000"/>
        </w:rPr>
        <w:t xml:space="preserve">Školská jedáleň, ktorej zriaďovateľom je </w:t>
      </w:r>
      <w:r>
        <w:rPr>
          <w:b/>
          <w:bCs/>
          <w:i/>
          <w:iCs/>
          <w:color w:val="000000"/>
          <w:u w:val="single"/>
        </w:rPr>
        <w:t>orgán miestnej štátnej správy v školstve</w:t>
      </w:r>
      <w:r>
        <w:rPr>
          <w:i/>
          <w:iCs/>
          <w:color w:val="000000"/>
        </w:rPr>
        <w:t>, poskytuje stravovanie deťom a žiakom za čiastočnú úhradu nákladov, ktoré uhrádza zákonný zástupca vo výške nákladov na nákup potravín podľa vekových kategórií stravníkov v nadväznosti na odporúčané výživové dávky. Príspevok, ktorý uhrádza zákonný zástupca dieťaťa alebo žiaka vo výške nákladov na nákup potravín podľa vekových kategórií stravníkov, určí riaditeľ školy alebo riaditeľ školského zariadenia. Zákonný zástupca prispieva na úhradu režijných nákladov, ak tak určí riaditeľ školskej jedálne alebo riaditeľ školy, ktorej je školská jedáleň súčasťou, na jedno dieťa alebo jedného žiaka najviac v sume neprevyšujúcej 7,5 % sumy životného minima pre nezaopatrené dieťa podľa osobitného predpisu.“</w:t>
      </w:r>
      <w:r>
        <w:rPr>
          <w:color w:val="000000"/>
        </w:rPr>
        <w:t>.</w:t>
      </w:r>
    </w:p>
    <w:p w:rsidR="002B59F1" w:rsidRDefault="002B59F1" w:rsidP="002B59F1">
      <w:pPr>
        <w:jc w:val="both"/>
        <w:rPr>
          <w:color w:val="000000"/>
        </w:rPr>
      </w:pPr>
    </w:p>
    <w:p w:rsidR="002B59F1" w:rsidRDefault="002B59F1" w:rsidP="002B59F1">
      <w:pPr>
        <w:jc w:val="both"/>
        <w:rPr>
          <w:color w:val="000000"/>
        </w:rPr>
      </w:pPr>
      <w:r>
        <w:rPr>
          <w:color w:val="000000"/>
        </w:rPr>
        <w:t xml:space="preserve">Podľa § 140 ods. 9 zákona č. 245/2008 Z. z. </w:t>
      </w:r>
      <w:r>
        <w:rPr>
          <w:i/>
          <w:iCs/>
          <w:color w:val="000000"/>
        </w:rPr>
        <w:t>„</w:t>
      </w:r>
      <w:r>
        <w:rPr>
          <w:b/>
          <w:bCs/>
          <w:i/>
          <w:iCs/>
          <w:color w:val="000000"/>
        </w:rPr>
        <w:t xml:space="preserve">Školská jedáleň, ktorej zriaďovateľom je </w:t>
      </w:r>
      <w:r>
        <w:rPr>
          <w:b/>
          <w:bCs/>
          <w:i/>
          <w:iCs/>
          <w:color w:val="000000"/>
          <w:u w:val="single"/>
        </w:rPr>
        <w:t>obec alebo samosprávny kraj</w:t>
      </w:r>
      <w:r>
        <w:rPr>
          <w:i/>
          <w:iCs/>
          <w:color w:val="000000"/>
        </w:rPr>
        <w:t>, poskytuje stravovanie deťom a žiakom za čiastočnú úhradu nákladov, ktoré uhrádza zákonný zástupca vo výške nákladov na nákup potravín podľa vekových kategórií stravníkov v nadväznosti na odporúčané výživové dávky. Zákonný zástupca prispieva na úhradu režijných nákladov, ak tak určí zriaďovateľ.“</w:t>
      </w:r>
      <w:r>
        <w:rPr>
          <w:color w:val="000000"/>
        </w:rPr>
        <w:t>.</w:t>
      </w:r>
    </w:p>
    <w:p w:rsidR="002B59F1" w:rsidRDefault="002B59F1" w:rsidP="002B59F1">
      <w:pPr>
        <w:jc w:val="both"/>
        <w:rPr>
          <w:color w:val="000000"/>
        </w:rPr>
      </w:pPr>
    </w:p>
    <w:p w:rsidR="002B59F1" w:rsidRDefault="002B59F1" w:rsidP="002B59F1">
      <w:pPr>
        <w:jc w:val="both"/>
        <w:rPr>
          <w:i/>
          <w:iCs/>
          <w:color w:val="000000"/>
        </w:rPr>
      </w:pPr>
      <w:r>
        <w:rPr>
          <w:color w:val="000000"/>
        </w:rPr>
        <w:t>Podľa § 140 ods. 11 zákona č. 245/2008 Z. z</w:t>
      </w:r>
      <w:r>
        <w:rPr>
          <w:i/>
          <w:iCs/>
          <w:color w:val="000000"/>
        </w:rPr>
        <w:t>. „</w:t>
      </w:r>
      <w:r>
        <w:rPr>
          <w:b/>
          <w:bCs/>
          <w:i/>
          <w:iCs/>
          <w:color w:val="000000"/>
        </w:rPr>
        <w:t>Príspevok podľa odseku 8 a 10 sa neuhrádza</w:t>
      </w:r>
      <w:r>
        <w:rPr>
          <w:i/>
          <w:iCs/>
          <w:color w:val="000000"/>
        </w:rPr>
        <w:t>, ak plnoletý žiak alebo zákonný zástupca neplnoletého žiaka o to písomne požiada a je členom domácnosti, ktorej sa poskytuje pomoc v hmotnej núdzi podľa osobitného predpisu.“.</w:t>
      </w:r>
    </w:p>
    <w:p w:rsidR="002B59F1" w:rsidRDefault="002B59F1" w:rsidP="002B59F1">
      <w:pPr>
        <w:jc w:val="both"/>
        <w:rPr>
          <w:i/>
          <w:iCs/>
          <w:color w:val="000000"/>
        </w:rPr>
      </w:pPr>
    </w:p>
    <w:p w:rsidR="002B59F1" w:rsidRDefault="002B59F1" w:rsidP="002B59F1">
      <w:pPr>
        <w:jc w:val="both"/>
        <w:rPr>
          <w:i/>
          <w:iCs/>
          <w:color w:val="000000"/>
        </w:rPr>
      </w:pPr>
      <w:r>
        <w:rPr>
          <w:color w:val="000000"/>
        </w:rPr>
        <w:t xml:space="preserve">Podľa § 140 ods. 10 zákona č. 245/2008 Z. z. </w:t>
      </w:r>
      <w:r>
        <w:rPr>
          <w:i/>
          <w:iCs/>
          <w:color w:val="000000"/>
        </w:rPr>
        <w:t xml:space="preserve">„Výšku príspevku na čiastočnú úhradu nákladov, výšku príspevku na režijné náklady a podmienky úhrady v školskej jedálni, ktorej </w:t>
      </w:r>
      <w:r>
        <w:rPr>
          <w:b/>
          <w:bCs/>
          <w:i/>
          <w:iCs/>
          <w:color w:val="000000"/>
        </w:rPr>
        <w:t>zriaďovateľom je obec alebo samosprávny kraj</w:t>
      </w:r>
      <w:r>
        <w:rPr>
          <w:i/>
          <w:iCs/>
          <w:color w:val="000000"/>
        </w:rPr>
        <w:t>, určí zriaďovateľ všeobecne záväzným nariadením.“.</w:t>
      </w:r>
    </w:p>
    <w:p w:rsidR="002B59F1" w:rsidRDefault="002B59F1" w:rsidP="002B59F1">
      <w:pPr>
        <w:jc w:val="both"/>
        <w:rPr>
          <w:i/>
          <w:iCs/>
          <w:color w:val="000000"/>
        </w:rPr>
      </w:pPr>
    </w:p>
    <w:p w:rsidR="002B59F1" w:rsidRDefault="002B59F1" w:rsidP="002B59F1">
      <w:pPr>
        <w:jc w:val="both"/>
        <w:rPr>
          <w:color w:val="000000"/>
        </w:rPr>
      </w:pPr>
      <w:r>
        <w:rPr>
          <w:color w:val="000000"/>
        </w:rPr>
        <w:t xml:space="preserve">Z vyššie uvedeného vyplýva, že postup podľa ustanovenia § 140 ods. 11 zákona č. 245/2008 Z. z. </w:t>
      </w:r>
      <w:r>
        <w:rPr>
          <w:b/>
          <w:bCs/>
          <w:color w:val="000000"/>
        </w:rPr>
        <w:t>sa vzťahuje ako na zriaďovateľa, ktorým je orgán miestnej štátnej správy, tak aj na zriaďovateľa, ktorým je obec alebo samosprávny kraj.</w:t>
      </w:r>
      <w:r>
        <w:rPr>
          <w:color w:val="000000"/>
        </w:rPr>
        <w:t xml:space="preserve"> Z dôvodu, že práve ustanovenie § 140 ods. 10 zákona č. 245/2008 Z. z. upravuje spôsob určenia výšky príspevku na čiastočnú úhradu nákladov a výšku príspevku na režijné náklady zriaďovateľom (obec alebo samosprávny kraj), pričom tieto príspevky sa neuhrádzajú podľa § 140 ods. 11 zákona č. 245/2008 Z. z.</w:t>
      </w:r>
    </w:p>
    <w:p w:rsidR="002B59F1" w:rsidRDefault="002B59F1" w:rsidP="002B59F1">
      <w:pPr>
        <w:jc w:val="both"/>
        <w:rPr>
          <w:i/>
          <w:iCs/>
          <w:color w:val="000000"/>
        </w:rPr>
      </w:pPr>
      <w:r>
        <w:rPr>
          <w:color w:val="000000"/>
        </w:rPr>
        <w:t xml:space="preserve">Tento výklad vyplýva aj z dôvodovej správy k zákonu č. 415/2021 Z. z. ktorým sa mení a dopĺňa zákon č. 245/2008 Z. z. o výchove a vzdelávaní (školský zákon) a o zmene a doplnení niektorých zákonov v znení neskorších predpisov a ktorým sa menia a dopĺňajú niektoré zákony, v ktorej je uvedené </w:t>
      </w:r>
      <w:r>
        <w:rPr>
          <w:i/>
          <w:iCs/>
          <w:color w:val="000000"/>
        </w:rPr>
        <w:t>„</w:t>
      </w:r>
      <w:r>
        <w:rPr>
          <w:b/>
          <w:bCs/>
          <w:i/>
          <w:iCs/>
          <w:color w:val="000000"/>
        </w:rPr>
        <w:t>Všetci zriaďovatelia konsenzuálne aplikujú odpustenie príspevku pre</w:t>
      </w:r>
      <w:r>
        <w:rPr>
          <w:b/>
          <w:bCs/>
          <w:i/>
          <w:iCs/>
          <w:color w:val="000000"/>
          <w:u w:val="single"/>
        </w:rPr>
        <w:t xml:space="preserve"> deti v hmotnej núdzi</w:t>
      </w:r>
      <w:r>
        <w:rPr>
          <w:i/>
          <w:iCs/>
          <w:color w:val="000000"/>
        </w:rPr>
        <w:t>, čím podporujú sociálny rozmer pri vzdelávaní týchto detí a naplnenie daného ustanovenia.“.</w:t>
      </w:r>
    </w:p>
    <w:p w:rsidR="002B59F1" w:rsidRDefault="002B59F1" w:rsidP="002B59F1">
      <w:pPr>
        <w:jc w:val="both"/>
        <w:rPr>
          <w:i/>
          <w:iCs/>
          <w:color w:val="000000"/>
        </w:rPr>
      </w:pPr>
    </w:p>
    <w:p w:rsidR="002B59F1" w:rsidRDefault="002B59F1" w:rsidP="002B59F1">
      <w:pPr>
        <w:jc w:val="both"/>
        <w:rPr>
          <w:color w:val="000000"/>
        </w:rPr>
      </w:pPr>
      <w:r>
        <w:rPr>
          <w:color w:val="000000"/>
        </w:rPr>
        <w:t>Z uvedeného vyplýva nasledovné.</w:t>
      </w:r>
    </w:p>
    <w:p w:rsidR="002B59F1" w:rsidRDefault="002B59F1" w:rsidP="002B59F1">
      <w:pPr>
        <w:jc w:val="both"/>
        <w:rPr>
          <w:color w:val="000000"/>
        </w:rPr>
      </w:pPr>
    </w:p>
    <w:p w:rsidR="002B59F1" w:rsidRDefault="002B59F1" w:rsidP="002B59F1">
      <w:pPr>
        <w:numPr>
          <w:ilvl w:val="0"/>
          <w:numId w:val="1"/>
        </w:numPr>
        <w:spacing w:after="160" w:line="252" w:lineRule="auto"/>
        <w:contextualSpacing/>
        <w:jc w:val="both"/>
        <w:rPr>
          <w:color w:val="000000"/>
        </w:rPr>
      </w:pPr>
      <w:r>
        <w:rPr>
          <w:color w:val="000000"/>
        </w:rPr>
        <w:t>Ustanovenie § 140 ods. 11 zákona č. 245/2008 Z. z. sa vzťahuje aj na dieťa  zo špeciálnej materskej školy, pokiaľ spĺňa podmienky podľa daného ustanovenia, teda je členom domácnosti, ktorej sa poskytuje pomoc v hmotnej núdzi.</w:t>
      </w:r>
    </w:p>
    <w:p w:rsidR="002B59F1" w:rsidRDefault="002B59F1" w:rsidP="002B59F1">
      <w:pPr>
        <w:pStyle w:val="Odsekzoznamu"/>
        <w:jc w:val="both"/>
        <w:rPr>
          <w:color w:val="000000"/>
        </w:rPr>
      </w:pPr>
    </w:p>
    <w:p w:rsidR="002B59F1" w:rsidRDefault="002B59F1" w:rsidP="002B59F1">
      <w:pPr>
        <w:numPr>
          <w:ilvl w:val="0"/>
          <w:numId w:val="1"/>
        </w:numPr>
        <w:spacing w:after="160" w:line="252" w:lineRule="auto"/>
        <w:contextualSpacing/>
        <w:jc w:val="both"/>
        <w:rPr>
          <w:color w:val="000000"/>
        </w:rPr>
      </w:pPr>
      <w:r>
        <w:rPr>
          <w:color w:val="000000"/>
        </w:rPr>
        <w:lastRenderedPageBreak/>
        <w:t>Ustanovenie § 140 ods. 11 zákona č. 245/2008 Z. z. sa vzťahuje aj na deti a žiakov škôl v zriaďovateľskej pôsobnosti obcí a samosprávnych krajov, pokiaľ spĺňajú podmienky podľa tohto ustanovenia.</w:t>
      </w:r>
    </w:p>
    <w:p w:rsidR="002B59F1" w:rsidRDefault="002B59F1" w:rsidP="002B59F1">
      <w:pPr>
        <w:pStyle w:val="Odsekzoznamu"/>
        <w:jc w:val="both"/>
        <w:rPr>
          <w:color w:val="000000"/>
        </w:rPr>
      </w:pPr>
    </w:p>
    <w:p w:rsidR="002B59F1" w:rsidRDefault="002B59F1" w:rsidP="002B59F1">
      <w:pPr>
        <w:numPr>
          <w:ilvl w:val="0"/>
          <w:numId w:val="1"/>
        </w:numPr>
        <w:spacing w:after="160" w:line="252" w:lineRule="auto"/>
        <w:contextualSpacing/>
        <w:jc w:val="both"/>
        <w:rPr>
          <w:color w:val="000000"/>
        </w:rPr>
      </w:pPr>
      <w:r>
        <w:rPr>
          <w:color w:val="000000"/>
        </w:rPr>
        <w:t xml:space="preserve">Pokiaľ dieťa alebo žiak spĺňa podmienky podľa § 140 ods. 11 zákona č. 245/2008 Z. z., tak zriaďovateľ (orgán miestnej štátnej správy v školstve, obec alebo samosprávny kraj) je </w:t>
      </w:r>
      <w:r>
        <w:rPr>
          <w:b/>
          <w:bCs/>
          <w:color w:val="000000"/>
        </w:rPr>
        <w:t>povinný</w:t>
      </w:r>
      <w:r>
        <w:rPr>
          <w:color w:val="000000"/>
        </w:rPr>
        <w:t xml:space="preserve"> tento príspevok odpustiť po písomnej žiadosti žiaka alebo zákonného zástupcu. V takomto prípade náklady na stravovanie detí a žiakov, ktorým bol príspevok odpustený, </w:t>
      </w:r>
      <w:r>
        <w:rPr>
          <w:b/>
          <w:bCs/>
          <w:color w:val="000000"/>
        </w:rPr>
        <w:t>uhrádza v plnej miere zriaďovateľ</w:t>
      </w:r>
      <w:r>
        <w:rPr>
          <w:color w:val="000000"/>
        </w:rPr>
        <w:t>.</w:t>
      </w:r>
    </w:p>
    <w:p w:rsidR="002B59F1" w:rsidRDefault="002B59F1" w:rsidP="002B59F1"/>
    <w:p w:rsidR="002B59F1" w:rsidRDefault="002B59F1" w:rsidP="002B59F1">
      <w:pPr>
        <w:rPr>
          <w:color w:val="1F497D"/>
          <w:lang w:eastAsia="sk-SK"/>
        </w:rPr>
      </w:pPr>
      <w:r>
        <w:rPr>
          <w:color w:val="1F497D"/>
          <w:lang w:eastAsia="sk-SK"/>
        </w:rPr>
        <w:t xml:space="preserve">S pozdravom </w:t>
      </w:r>
    </w:p>
    <w:p w:rsidR="002B59F1" w:rsidRDefault="002B59F1" w:rsidP="002B59F1">
      <w:pPr>
        <w:autoSpaceDE w:val="0"/>
        <w:autoSpaceDN w:val="0"/>
        <w:spacing w:line="241" w:lineRule="atLeast"/>
        <w:rPr>
          <w:b/>
          <w:bCs/>
          <w:i/>
          <w:iCs/>
          <w:color w:val="1F497D"/>
          <w:sz w:val="24"/>
          <w:szCs w:val="24"/>
          <w:lang w:eastAsia="sk-SK"/>
        </w:rPr>
      </w:pPr>
      <w:r>
        <w:rPr>
          <w:b/>
          <w:bCs/>
          <w:i/>
          <w:iCs/>
          <w:color w:val="1F497D"/>
          <w:sz w:val="24"/>
          <w:szCs w:val="24"/>
          <w:lang w:eastAsia="sk-SK"/>
        </w:rPr>
        <w:t>Mgr. Daniel Takács, PhD.</w:t>
      </w:r>
    </w:p>
    <w:p w:rsidR="002B59F1" w:rsidRDefault="002B59F1" w:rsidP="002B59F1">
      <w:pPr>
        <w:autoSpaceDE w:val="0"/>
        <w:autoSpaceDN w:val="0"/>
        <w:spacing w:line="241" w:lineRule="atLeast"/>
        <w:rPr>
          <w:color w:val="1F497D"/>
          <w:sz w:val="20"/>
          <w:szCs w:val="20"/>
          <w:lang w:eastAsia="sk-SK"/>
        </w:rPr>
      </w:pPr>
      <w:r>
        <w:rPr>
          <w:color w:val="1F497D"/>
          <w:sz w:val="20"/>
          <w:szCs w:val="20"/>
          <w:lang w:eastAsia="sk-SK"/>
        </w:rPr>
        <w:t xml:space="preserve">sekcia legislatívno-právna </w:t>
      </w:r>
      <w:r>
        <w:rPr>
          <w:color w:val="C3112B"/>
          <w:sz w:val="20"/>
          <w:szCs w:val="20"/>
          <w:lang w:eastAsia="sk-SK"/>
        </w:rPr>
        <w:t>|</w:t>
      </w:r>
      <w:r>
        <w:rPr>
          <w:color w:val="1F497D"/>
          <w:sz w:val="20"/>
          <w:szCs w:val="20"/>
          <w:lang w:eastAsia="sk-SK"/>
        </w:rPr>
        <w:t xml:space="preserve"> odbor legislatívy </w:t>
      </w:r>
    </w:p>
    <w:p w:rsidR="002B59F1" w:rsidRDefault="002B59F1" w:rsidP="002B59F1">
      <w:pPr>
        <w:autoSpaceDE w:val="0"/>
        <w:autoSpaceDN w:val="0"/>
        <w:spacing w:line="241" w:lineRule="atLeast"/>
        <w:rPr>
          <w:color w:val="1F497D"/>
          <w:lang w:eastAsia="sk-SK"/>
        </w:rPr>
      </w:pPr>
    </w:p>
    <w:p w:rsidR="002B59F1" w:rsidRDefault="002B59F1" w:rsidP="002B59F1">
      <w:pPr>
        <w:autoSpaceDE w:val="0"/>
        <w:autoSpaceDN w:val="0"/>
        <w:spacing w:line="241" w:lineRule="atLeast"/>
        <w:rPr>
          <w:color w:val="1F497D"/>
          <w:lang w:eastAsia="sk-SK"/>
        </w:rPr>
      </w:pPr>
      <w:r>
        <w:rPr>
          <w:noProof/>
          <w:color w:val="1F497D"/>
          <w:lang w:eastAsia="sk-SK"/>
        </w:rPr>
        <w:drawing>
          <wp:inline distT="0" distB="0" distL="0" distR="0">
            <wp:extent cx="2381250" cy="762000"/>
            <wp:effectExtent l="0" t="0" r="0" b="0"/>
            <wp:docPr id="1" name="Obrázok 1" descr="cid:image001.png@01D1D845.7B758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cid:image001.png@01D1D845.7B758F2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81250" cy="762000"/>
                    </a:xfrm>
                    <a:prstGeom prst="rect">
                      <a:avLst/>
                    </a:prstGeom>
                    <a:noFill/>
                    <a:ln>
                      <a:noFill/>
                    </a:ln>
                  </pic:spPr>
                </pic:pic>
              </a:graphicData>
            </a:graphic>
          </wp:inline>
        </w:drawing>
      </w:r>
    </w:p>
    <w:p w:rsidR="002B59F1" w:rsidRDefault="002B59F1" w:rsidP="002B59F1">
      <w:pPr>
        <w:autoSpaceDE w:val="0"/>
        <w:autoSpaceDN w:val="0"/>
        <w:spacing w:line="276" w:lineRule="auto"/>
        <w:rPr>
          <w:color w:val="1F497D"/>
          <w:lang w:eastAsia="sk-SK"/>
        </w:rPr>
      </w:pPr>
    </w:p>
    <w:p w:rsidR="002B59F1" w:rsidRDefault="002B59F1" w:rsidP="002B59F1">
      <w:pPr>
        <w:autoSpaceDE w:val="0"/>
        <w:autoSpaceDN w:val="0"/>
        <w:spacing w:line="276" w:lineRule="auto"/>
        <w:rPr>
          <w:color w:val="1F497D"/>
          <w:sz w:val="20"/>
          <w:szCs w:val="20"/>
          <w:lang w:eastAsia="sk-SK"/>
        </w:rPr>
      </w:pPr>
      <w:r>
        <w:rPr>
          <w:color w:val="1F497D"/>
          <w:sz w:val="20"/>
          <w:szCs w:val="20"/>
          <w:lang w:eastAsia="sk-SK"/>
        </w:rPr>
        <w:t xml:space="preserve">Stromová 1 </w:t>
      </w:r>
      <w:r>
        <w:rPr>
          <w:color w:val="C3112B"/>
          <w:sz w:val="20"/>
          <w:szCs w:val="20"/>
          <w:lang w:eastAsia="sk-SK"/>
        </w:rPr>
        <w:t>|</w:t>
      </w:r>
      <w:r>
        <w:rPr>
          <w:b/>
          <w:bCs/>
          <w:color w:val="C3112B"/>
          <w:sz w:val="20"/>
          <w:szCs w:val="20"/>
          <w:lang w:eastAsia="sk-SK"/>
        </w:rPr>
        <w:t xml:space="preserve"> </w:t>
      </w:r>
      <w:r>
        <w:rPr>
          <w:color w:val="1F497D"/>
          <w:sz w:val="20"/>
          <w:szCs w:val="20"/>
          <w:lang w:eastAsia="sk-SK"/>
        </w:rPr>
        <w:t xml:space="preserve">813 30  Bratislava </w:t>
      </w:r>
      <w:r>
        <w:rPr>
          <w:color w:val="C3112B"/>
          <w:sz w:val="20"/>
          <w:szCs w:val="20"/>
          <w:lang w:eastAsia="sk-SK"/>
        </w:rPr>
        <w:t>|</w:t>
      </w:r>
      <w:r>
        <w:rPr>
          <w:b/>
          <w:bCs/>
          <w:color w:val="C3112B"/>
          <w:sz w:val="20"/>
          <w:szCs w:val="20"/>
          <w:lang w:eastAsia="sk-SK"/>
        </w:rPr>
        <w:t xml:space="preserve"> </w:t>
      </w:r>
      <w:r>
        <w:rPr>
          <w:color w:val="1F497D"/>
          <w:sz w:val="20"/>
          <w:szCs w:val="20"/>
          <w:lang w:eastAsia="sk-SK"/>
        </w:rPr>
        <w:t xml:space="preserve">Slovenská republika </w:t>
      </w:r>
    </w:p>
    <w:p w:rsidR="002B59F1" w:rsidRDefault="002B59F1" w:rsidP="002B59F1">
      <w:pPr>
        <w:autoSpaceDE w:val="0"/>
        <w:autoSpaceDN w:val="0"/>
        <w:spacing w:line="276" w:lineRule="auto"/>
        <w:rPr>
          <w:color w:val="1F497D"/>
          <w:sz w:val="20"/>
          <w:szCs w:val="20"/>
          <w:lang w:eastAsia="sk-SK"/>
        </w:rPr>
      </w:pPr>
      <w:r>
        <w:rPr>
          <w:color w:val="1F497D"/>
          <w:sz w:val="20"/>
          <w:szCs w:val="20"/>
          <w:lang w:eastAsia="sk-SK"/>
        </w:rPr>
        <w:t>tel.: +421 2 5937 4240</w:t>
      </w:r>
    </w:p>
    <w:p w:rsidR="002B59F1" w:rsidRDefault="002B59F1" w:rsidP="002B59F1">
      <w:pPr>
        <w:spacing w:line="276" w:lineRule="auto"/>
        <w:rPr>
          <w:rFonts w:ascii="Times New Roman" w:hAnsi="Times New Roman" w:cs="Times New Roman"/>
          <w:color w:val="0000FF"/>
          <w:sz w:val="20"/>
          <w:szCs w:val="20"/>
          <w:u w:val="single"/>
          <w:lang w:eastAsia="sk-SK"/>
        </w:rPr>
      </w:pPr>
      <w:hyperlink r:id="rId7" w:history="1">
        <w:r>
          <w:rPr>
            <w:rStyle w:val="Hypertextovprepojenie"/>
            <w:sz w:val="20"/>
            <w:szCs w:val="20"/>
            <w:lang w:eastAsia="sk-SK"/>
          </w:rPr>
          <w:t>daniel.takacs@minedu.sk</w:t>
        </w:r>
      </w:hyperlink>
      <w:r>
        <w:rPr>
          <w:color w:val="1F497D"/>
          <w:sz w:val="20"/>
          <w:szCs w:val="20"/>
          <w:lang w:eastAsia="sk-SK"/>
        </w:rPr>
        <w:t xml:space="preserve"> </w:t>
      </w:r>
      <w:r>
        <w:rPr>
          <w:color w:val="C3112B"/>
          <w:sz w:val="20"/>
          <w:szCs w:val="20"/>
          <w:lang w:eastAsia="sk-SK"/>
        </w:rPr>
        <w:t>|</w:t>
      </w:r>
      <w:r>
        <w:rPr>
          <w:b/>
          <w:bCs/>
          <w:color w:val="1F497D"/>
          <w:sz w:val="20"/>
          <w:szCs w:val="20"/>
          <w:lang w:eastAsia="sk-SK"/>
        </w:rPr>
        <w:t xml:space="preserve"> </w:t>
      </w:r>
      <w:hyperlink r:id="rId8" w:history="1">
        <w:r>
          <w:rPr>
            <w:rStyle w:val="Hypertextovprepojenie"/>
            <w:color w:val="0000FF"/>
            <w:sz w:val="20"/>
            <w:szCs w:val="20"/>
            <w:lang w:eastAsia="sk-SK"/>
          </w:rPr>
          <w:t>www.minedu.sk</w:t>
        </w:r>
      </w:hyperlink>
    </w:p>
    <w:p w:rsidR="002B59F1" w:rsidRDefault="002B59F1" w:rsidP="002B59F1">
      <w:pPr>
        <w:rPr>
          <w:lang w:eastAsia="sk-SK"/>
        </w:rPr>
      </w:pPr>
    </w:p>
    <w:p w:rsidR="00F50482" w:rsidRDefault="00F50482"/>
    <w:sectPr w:rsidR="00F504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90C56"/>
    <w:multiLevelType w:val="hybridMultilevel"/>
    <w:tmpl w:val="02E41F48"/>
    <w:lvl w:ilvl="0" w:tplc="88D48EFC">
      <w:start w:val="20"/>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9F1"/>
    <w:rsid w:val="002B59F1"/>
    <w:rsid w:val="008F586C"/>
    <w:rsid w:val="00F504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E5997"/>
  <w15:chartTrackingRefBased/>
  <w15:docId w15:val="{3E93619B-EA09-4EB5-8E9C-59048B60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B59F1"/>
    <w:pPr>
      <w:spacing w:after="0" w:line="240" w:lineRule="auto"/>
    </w:pPr>
    <w:rPr>
      <w:rFonts w:ascii="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2B59F1"/>
    <w:rPr>
      <w:color w:val="0563C1"/>
      <w:u w:val="single"/>
    </w:rPr>
  </w:style>
  <w:style w:type="paragraph" w:styleId="Odsekzoznamu">
    <w:name w:val="List Paragraph"/>
    <w:basedOn w:val="Normlny"/>
    <w:uiPriority w:val="34"/>
    <w:qFormat/>
    <w:rsid w:val="002B59F1"/>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63558">
      <w:bodyDiv w:val="1"/>
      <w:marLeft w:val="0"/>
      <w:marRight w:val="0"/>
      <w:marTop w:val="0"/>
      <w:marBottom w:val="0"/>
      <w:divBdr>
        <w:top w:val="none" w:sz="0" w:space="0" w:color="auto"/>
        <w:left w:val="none" w:sz="0" w:space="0" w:color="auto"/>
        <w:bottom w:val="none" w:sz="0" w:space="0" w:color="auto"/>
        <w:right w:val="none" w:sz="0" w:space="0" w:color="auto"/>
      </w:divBdr>
    </w:div>
    <w:div w:id="8224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sk/" TargetMode="External"/><Relationship Id="rId3" Type="http://schemas.openxmlformats.org/officeDocument/2006/relationships/settings" Target="settings.xml"/><Relationship Id="rId7" Type="http://schemas.openxmlformats.org/officeDocument/2006/relationships/hyperlink" Target="mailto:daniel.takacs@minedu.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gif@01D9154B.A82137A0"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638</Words>
  <Characters>3643</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Krajničáková</dc:creator>
  <cp:keywords/>
  <dc:description/>
  <cp:lastModifiedBy>Ľubica Krajničáková</cp:lastModifiedBy>
  <cp:revision>1</cp:revision>
  <dcterms:created xsi:type="dcterms:W3CDTF">2023-03-23T07:40:00Z</dcterms:created>
  <dcterms:modified xsi:type="dcterms:W3CDTF">2023-03-23T07:43:00Z</dcterms:modified>
</cp:coreProperties>
</file>